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58E25">
      <w:pPr>
        <w:adjustRightInd w:val="0"/>
        <w:snapToGrid w:val="0"/>
        <w:spacing w:line="360" w:lineRule="auto"/>
        <w:rPr>
          <w:rFonts w:hint="eastAsia" w:asciiTheme="minorEastAsia" w:hAnsiTheme="minorEastAsia"/>
          <w:sz w:val="24"/>
          <w:szCs w:val="24"/>
        </w:rPr>
      </w:pPr>
      <w:bookmarkStart w:id="0" w:name="_GoBack"/>
      <w:r>
        <w:rPr>
          <w:rFonts w:hint="eastAsia" w:asciiTheme="minorEastAsia" w:hAnsiTheme="minorEastAsia"/>
          <w:b/>
          <w:bCs/>
          <w:sz w:val="24"/>
          <w:szCs w:val="24"/>
        </w:rPr>
        <w:t>附件1:20</w:t>
      </w:r>
      <w:r>
        <w:rPr>
          <w:rFonts w:asciiTheme="minorEastAsia" w:hAnsiTheme="minorEastAsia"/>
          <w:b/>
          <w:bCs/>
          <w:sz w:val="24"/>
          <w:szCs w:val="24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b/>
          <w:bCs/>
          <w:sz w:val="24"/>
          <w:szCs w:val="24"/>
        </w:rPr>
        <w:t>年研究生课程思政</w:t>
      </w:r>
      <w:r>
        <w:rPr>
          <w:rFonts w:asciiTheme="minorEastAsia" w:hAnsiTheme="minorEastAsia"/>
          <w:b/>
          <w:bCs/>
          <w:sz w:val="24"/>
          <w:szCs w:val="24"/>
        </w:rPr>
        <w:t>示范课程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推荐</w:t>
      </w:r>
      <w:r>
        <w:rPr>
          <w:rFonts w:hint="eastAsia" w:asciiTheme="minorEastAsia" w:hAnsiTheme="minorEastAsia"/>
          <w:b/>
          <w:bCs/>
          <w:sz w:val="24"/>
          <w:szCs w:val="24"/>
        </w:rPr>
        <w:t>获奖名单</w:t>
      </w:r>
    </w:p>
    <w:bookmarkEnd w:id="0"/>
    <w:tbl>
      <w:tblPr>
        <w:tblStyle w:val="2"/>
        <w:tblW w:w="86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570"/>
        <w:gridCol w:w="2791"/>
        <w:gridCol w:w="1360"/>
        <w:gridCol w:w="1150"/>
        <w:gridCol w:w="1120"/>
      </w:tblGrid>
      <w:tr w14:paraId="58FD1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课程编号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推荐学院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推荐类别</w:t>
            </w:r>
          </w:p>
        </w:tc>
      </w:tr>
      <w:tr w14:paraId="1A76E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Hss51901e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高等学术论文写作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</w:t>
            </w:r>
          </w:p>
        </w:tc>
      </w:tr>
      <w:tr w14:paraId="1D22F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25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EE52201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A0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微机电系统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69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邢晓星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</w:t>
            </w:r>
          </w:p>
        </w:tc>
      </w:tr>
      <w:tr w14:paraId="68327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DF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Comp573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45F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自然语言理解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3A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万静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</w:t>
            </w:r>
          </w:p>
        </w:tc>
      </w:tr>
      <w:tr w14:paraId="14813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Chem52001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计算材料化学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化学学院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</w:t>
            </w:r>
          </w:p>
        </w:tc>
      </w:tr>
      <w:tr w14:paraId="10019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ChE510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传递过程原理(Ⅱ)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金君素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</w:t>
            </w:r>
          </w:p>
        </w:tc>
      </w:tr>
      <w:tr w14:paraId="28C3C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89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Comp579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46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人工智能原理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17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韩永明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</w:t>
            </w:r>
          </w:p>
        </w:tc>
      </w:tr>
      <w:tr w14:paraId="52D6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ChE572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化工生产过程技术经济评价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任继勤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</w:t>
            </w:r>
          </w:p>
        </w:tc>
      </w:tr>
      <w:tr w14:paraId="2F6A5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MBA551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财务报表分析（MBA）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曾雅婷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</w:t>
            </w:r>
          </w:p>
        </w:tc>
      </w:tr>
      <w:tr w14:paraId="18D3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MPAcc51930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吴卫红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</w:t>
            </w:r>
          </w:p>
        </w:tc>
      </w:tr>
      <w:tr w14:paraId="70401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MBA51805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A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刘艳霞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</w:t>
            </w:r>
          </w:p>
        </w:tc>
      </w:tr>
      <w:tr w14:paraId="49FD1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Bio562e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生化分离工程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吕永琴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生命学院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</w:t>
            </w:r>
          </w:p>
        </w:tc>
      </w:tr>
      <w:tr w14:paraId="34D2D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Mech52002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中国民间美术造型研究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庄一兵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艺术系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</w:t>
            </w:r>
          </w:p>
        </w:tc>
      </w:tr>
    </w:tbl>
    <w:p w14:paraId="505676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23C86"/>
    <w:rsid w:val="2A82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2024-12-13T09:24:00Z</dcterms:created>
  <dc:creator> 杏仁</dc:creator>
  <cp:lastModifiedBy> 杏仁</cp:lastModifiedBy>
  <dcterms:modified xsi:type="dcterms:W3CDTF">2024-12-13T09:25:18Z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6B3789C0314D4AF8873D3A1579795FD3_11</vt:lpwstr>
  </property>
</Properties>
</file>